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61EFF" w14:textId="77777777" w:rsidR="0089029A" w:rsidRPr="0089029A" w:rsidRDefault="0089029A" w:rsidP="0089029A">
      <w:pPr>
        <w:spacing w:line="208" w:lineRule="auto"/>
        <w:jc w:val="both"/>
        <w:rPr>
          <w:rFonts w:ascii="Minion Pro" w:hAnsi="Minion Pro"/>
          <w:color w:val="000000"/>
          <w:sz w:val="18"/>
        </w:rPr>
      </w:pPr>
      <w:r w:rsidRPr="0089029A">
        <w:rPr>
          <w:rFonts w:ascii="Minion Pro" w:hAnsi="Minion Pro"/>
          <w:color w:val="000000"/>
          <w:sz w:val="18"/>
        </w:rPr>
        <w:t>Supplementary Material</w:t>
      </w:r>
    </w:p>
    <w:p w14:paraId="653FD2BC" w14:textId="77777777" w:rsidR="0089029A" w:rsidRPr="0089029A" w:rsidRDefault="0089029A" w:rsidP="0089029A">
      <w:pPr>
        <w:spacing w:line="208" w:lineRule="auto"/>
        <w:jc w:val="both"/>
        <w:rPr>
          <w:rFonts w:ascii="Minion Pro" w:hAnsi="Minion Pro"/>
          <w:color w:val="000000"/>
          <w:sz w:val="18"/>
        </w:rPr>
      </w:pPr>
      <w:r w:rsidRPr="0089029A">
        <w:rPr>
          <w:rFonts w:ascii="Minion Pro" w:hAnsi="Minion Pro"/>
          <w:color w:val="000000"/>
          <w:sz w:val="18"/>
        </w:rPr>
        <w:t xml:space="preserve">Suppl. Figure S1 Distribution of </w:t>
      </w:r>
      <w:r w:rsidRPr="0089029A">
        <w:rPr>
          <w:rFonts w:ascii="Minion Pro" w:hAnsi="Minion Pro"/>
          <w:color w:val="000000"/>
          <w:w w:val="105"/>
          <w:sz w:val="18"/>
          <w:szCs w:val="18"/>
        </w:rPr>
        <w:t>angiogenesis related genes (ARGs)</w:t>
      </w:r>
      <w:r w:rsidRPr="0089029A">
        <w:rPr>
          <w:rFonts w:ascii="Minion Pro" w:hAnsi="Minion Pro"/>
          <w:color w:val="000000"/>
          <w:sz w:val="18"/>
        </w:rPr>
        <w:t xml:space="preserve"> between healthy people and those with inflammatory bowel disease (IBD). A: Expression of ARGs in GSE57945; B: Expression of ARGs in GSE87466: the horizontal axis represents a gene, the vertical axis represents gene expression level; Blue represents IBD and red represents normal (ns </w:t>
      </w:r>
      <w:r w:rsidRPr="0089029A">
        <w:rPr>
          <w:rFonts w:ascii="Minion Pro" w:hAnsi="Minion Pro"/>
          <w:i/>
          <w:iCs/>
          <w:color w:val="000000"/>
          <w:sz w:val="18"/>
        </w:rPr>
        <w:t xml:space="preserve">p </w:t>
      </w:r>
      <w:r w:rsidRPr="0089029A">
        <w:rPr>
          <w:rFonts w:ascii="宋体" w:eastAsia="宋体" w:hAnsi="宋体" w:cs="宋体" w:hint="eastAsia"/>
          <w:color w:val="000000"/>
          <w:sz w:val="18"/>
        </w:rPr>
        <w:t>≥</w:t>
      </w:r>
      <w:r w:rsidRPr="0089029A">
        <w:rPr>
          <w:rFonts w:ascii="Minion Pro" w:hAnsi="Minion Pro"/>
          <w:color w:val="000000"/>
          <w:sz w:val="18"/>
        </w:rPr>
        <w:t>0.05, *</w:t>
      </w:r>
      <w:r w:rsidRPr="0089029A">
        <w:rPr>
          <w:rFonts w:ascii="Minion Pro" w:hAnsi="Minion Pro"/>
          <w:i/>
          <w:iCs/>
          <w:color w:val="000000"/>
          <w:sz w:val="18"/>
        </w:rPr>
        <w:t xml:space="preserve">p </w:t>
      </w:r>
      <w:r w:rsidRPr="0089029A">
        <w:rPr>
          <w:rFonts w:ascii="Minion Pro" w:hAnsi="Minion Pro"/>
          <w:color w:val="000000"/>
          <w:sz w:val="18"/>
        </w:rPr>
        <w:t>&lt;0.05, **</w:t>
      </w:r>
      <w:r w:rsidRPr="0089029A">
        <w:rPr>
          <w:rFonts w:ascii="Minion Pro" w:hAnsi="Minion Pro"/>
          <w:i/>
          <w:iCs/>
          <w:color w:val="000000"/>
          <w:sz w:val="18"/>
        </w:rPr>
        <w:t xml:space="preserve">p </w:t>
      </w:r>
      <w:r w:rsidRPr="0089029A">
        <w:rPr>
          <w:rFonts w:ascii="Minion Pro" w:hAnsi="Minion Pro"/>
          <w:color w:val="000000"/>
          <w:sz w:val="18"/>
        </w:rPr>
        <w:t>&lt;0.01, ***</w:t>
      </w:r>
      <w:r w:rsidRPr="0089029A">
        <w:rPr>
          <w:rFonts w:ascii="Minion Pro" w:hAnsi="Minion Pro"/>
          <w:i/>
          <w:iCs/>
          <w:color w:val="000000"/>
          <w:sz w:val="18"/>
        </w:rPr>
        <w:t xml:space="preserve">p </w:t>
      </w:r>
      <w:r w:rsidRPr="0089029A">
        <w:rPr>
          <w:rFonts w:ascii="Minion Pro" w:hAnsi="Minion Pro"/>
          <w:color w:val="000000"/>
          <w:sz w:val="18"/>
        </w:rPr>
        <w:t>&lt;0.001).</w:t>
      </w:r>
    </w:p>
    <w:p w14:paraId="5C8455AE" w14:textId="77777777" w:rsidR="0089029A" w:rsidRPr="0089029A" w:rsidRDefault="0089029A" w:rsidP="0089029A">
      <w:pPr>
        <w:spacing w:line="208" w:lineRule="auto"/>
        <w:jc w:val="both"/>
        <w:rPr>
          <w:rFonts w:ascii="Minion Pro" w:hAnsi="Minion Pro"/>
          <w:color w:val="000000"/>
          <w:sz w:val="18"/>
        </w:rPr>
      </w:pPr>
      <w:r w:rsidRPr="0089029A">
        <w:rPr>
          <w:rFonts w:ascii="Minion Pro" w:hAnsi="Minion Pro"/>
          <w:color w:val="000000"/>
          <w:sz w:val="18"/>
        </w:rPr>
        <w:t xml:space="preserve">Suppl. Figure S2 </w:t>
      </w:r>
      <w:proofErr w:type="spellStart"/>
      <w:r w:rsidRPr="0089029A">
        <w:rPr>
          <w:rFonts w:ascii="Minion Pro" w:hAnsi="Minion Pro"/>
          <w:color w:val="000000"/>
          <w:sz w:val="18"/>
        </w:rPr>
        <w:t>Meandegreasegini</w:t>
      </w:r>
      <w:proofErr w:type="spellEnd"/>
      <w:r w:rsidRPr="0089029A">
        <w:rPr>
          <w:rFonts w:ascii="Minion Pro" w:hAnsi="Minion Pro"/>
          <w:color w:val="000000"/>
          <w:sz w:val="18"/>
        </w:rPr>
        <w:t xml:space="preserve"> of 36 genes related to angiogenesis were calculated using random forest.</w:t>
      </w:r>
    </w:p>
    <w:p w14:paraId="5BD7D6D1" w14:textId="77777777" w:rsidR="0089029A" w:rsidRPr="0089029A" w:rsidRDefault="0089029A" w:rsidP="0089029A">
      <w:pPr>
        <w:spacing w:line="208" w:lineRule="auto"/>
        <w:jc w:val="both"/>
        <w:rPr>
          <w:rFonts w:ascii="Minion Pro" w:hAnsi="Minion Pro"/>
          <w:color w:val="000000"/>
          <w:sz w:val="18"/>
        </w:rPr>
      </w:pPr>
      <w:r w:rsidRPr="0089029A">
        <w:rPr>
          <w:rFonts w:ascii="Minion Pro" w:hAnsi="Minion Pro"/>
          <w:color w:val="000000"/>
          <w:sz w:val="18"/>
        </w:rPr>
        <w:t>Suppl. Figure S3 ROC for 13 diagnostic genes. The vertical axis is sensitivity and the horizontal axis is specificity.</w:t>
      </w:r>
    </w:p>
    <w:p w14:paraId="0258EB44" w14:textId="77777777" w:rsidR="0089029A" w:rsidRPr="0089029A" w:rsidRDefault="0089029A" w:rsidP="0089029A">
      <w:pPr>
        <w:spacing w:line="208" w:lineRule="auto"/>
        <w:jc w:val="both"/>
        <w:rPr>
          <w:rFonts w:ascii="Minion Pro" w:hAnsi="Minion Pro"/>
          <w:color w:val="000000"/>
          <w:sz w:val="18"/>
        </w:rPr>
      </w:pPr>
      <w:r w:rsidRPr="0089029A">
        <w:rPr>
          <w:rFonts w:ascii="Minion Pro" w:hAnsi="Minion Pro"/>
          <w:color w:val="000000"/>
          <w:sz w:val="18"/>
        </w:rPr>
        <w:t>Suppl. Figure S4 Correlation of 13 diagnostic genes A: Correlation of 13 gene signatures in normal tissues, red indicates negative correlation; blue indicates positive correlation; B: Correlation of 13 gene signatures in the tissues of IBD patients, red indicates negative correlation; blue indicates positive correlation.</w:t>
      </w:r>
    </w:p>
    <w:p w14:paraId="2846534A" w14:textId="77777777" w:rsidR="0089029A" w:rsidRPr="0089029A" w:rsidRDefault="0089029A" w:rsidP="0089029A">
      <w:pPr>
        <w:spacing w:line="208" w:lineRule="auto"/>
        <w:jc w:val="both"/>
        <w:rPr>
          <w:rFonts w:ascii="Minion Pro" w:hAnsi="Minion Pro"/>
          <w:color w:val="000000"/>
          <w:sz w:val="18"/>
        </w:rPr>
      </w:pPr>
      <w:r w:rsidRPr="0089029A">
        <w:rPr>
          <w:rFonts w:ascii="Minion Pro" w:hAnsi="Minion Pro"/>
          <w:color w:val="000000"/>
          <w:sz w:val="18"/>
        </w:rPr>
        <w:t>Suppl. Figure S5 NMF clustering was performed on samples according to 13 gene signatures</w:t>
      </w:r>
    </w:p>
    <w:p w14:paraId="2CF61195" w14:textId="77777777" w:rsidR="0089029A" w:rsidRPr="00C61F3A" w:rsidRDefault="0089029A" w:rsidP="0089029A">
      <w:pPr>
        <w:spacing w:line="208" w:lineRule="auto"/>
        <w:jc w:val="both"/>
        <w:rPr>
          <w:rFonts w:ascii="Minion Pro" w:hAnsi="Minion Pro"/>
          <w:color w:val="000000"/>
          <w:sz w:val="18"/>
        </w:rPr>
      </w:pPr>
      <w:r w:rsidRPr="0089029A">
        <w:rPr>
          <w:rFonts w:ascii="Minion Pro" w:hAnsi="Minion Pro"/>
          <w:color w:val="000000"/>
          <w:sz w:val="18"/>
        </w:rPr>
        <w:t xml:space="preserve">Suppl. Figure S6 Immune characteristics of ARGs-subtypes A: The immune scores of cluster1 and cluster2 were calculated by </w:t>
      </w:r>
      <w:proofErr w:type="spellStart"/>
      <w:r w:rsidRPr="0089029A">
        <w:rPr>
          <w:rFonts w:ascii="Minion Pro" w:hAnsi="Minion Pro"/>
          <w:color w:val="000000"/>
          <w:sz w:val="18"/>
        </w:rPr>
        <w:t>Xcell</w:t>
      </w:r>
      <w:proofErr w:type="spellEnd"/>
      <w:r w:rsidRPr="0089029A">
        <w:rPr>
          <w:rFonts w:ascii="Minion Pro" w:hAnsi="Minion Pro"/>
          <w:color w:val="000000"/>
          <w:sz w:val="18"/>
        </w:rPr>
        <w:t xml:space="preserve">: the horizontal axis represents the three immune scores, and the vertical axis represents the immune infiltration level; B: Immune cell content accumulation map was calculated by </w:t>
      </w:r>
      <w:proofErr w:type="spellStart"/>
      <w:r w:rsidRPr="0089029A">
        <w:rPr>
          <w:rFonts w:ascii="Minion Pro" w:hAnsi="Minion Pro"/>
          <w:color w:val="000000"/>
          <w:sz w:val="18"/>
        </w:rPr>
        <w:t>Cibersort</w:t>
      </w:r>
      <w:proofErr w:type="spellEnd"/>
      <w:r w:rsidRPr="0089029A">
        <w:rPr>
          <w:rFonts w:ascii="Minion Pro" w:hAnsi="Minion Pro"/>
          <w:color w:val="000000"/>
          <w:sz w:val="18"/>
        </w:rPr>
        <w:t xml:space="preserve">. Different colors indicate different immune cells, and the horizontal axis is the patient ID. C: Histogram of immune cell content calculated by </w:t>
      </w:r>
      <w:proofErr w:type="spellStart"/>
      <w:r w:rsidRPr="0089029A">
        <w:rPr>
          <w:rFonts w:ascii="Minion Pro" w:hAnsi="Minion Pro"/>
          <w:color w:val="000000"/>
          <w:sz w:val="18"/>
        </w:rPr>
        <w:t>Cibersort</w:t>
      </w:r>
      <w:proofErr w:type="spellEnd"/>
      <w:r w:rsidRPr="0089029A">
        <w:rPr>
          <w:rFonts w:ascii="Minion Pro" w:hAnsi="Minion Pro"/>
          <w:color w:val="000000"/>
          <w:sz w:val="18"/>
        </w:rPr>
        <w:t>: horizontal axis represents 22 immune cells, vertical axis represents cell content. Blue represents Cluster1 and Red represents Cluster2(ns</w:t>
      </w:r>
      <w:r w:rsidRPr="0089029A">
        <w:rPr>
          <w:rFonts w:ascii="Minion Pro" w:hAnsi="Minion Pro"/>
          <w:i/>
          <w:iCs/>
          <w:color w:val="000000"/>
          <w:sz w:val="18"/>
        </w:rPr>
        <w:t>p</w:t>
      </w:r>
      <w:r w:rsidRPr="0089029A">
        <w:rPr>
          <w:rFonts w:ascii="宋体" w:eastAsia="宋体" w:hAnsi="宋体" w:cs="宋体" w:hint="eastAsia"/>
          <w:color w:val="000000"/>
          <w:sz w:val="18"/>
        </w:rPr>
        <w:t>≥</w:t>
      </w:r>
      <w:r w:rsidRPr="0089029A">
        <w:rPr>
          <w:rFonts w:ascii="Minion Pro" w:hAnsi="Minion Pro"/>
          <w:color w:val="000000"/>
          <w:sz w:val="18"/>
        </w:rPr>
        <w:t>0.05, *</w:t>
      </w:r>
      <w:r w:rsidRPr="0089029A">
        <w:rPr>
          <w:rFonts w:ascii="Minion Pro" w:hAnsi="Minion Pro"/>
          <w:i/>
          <w:iCs/>
          <w:color w:val="000000"/>
          <w:sz w:val="18"/>
        </w:rPr>
        <w:t>p</w:t>
      </w:r>
      <w:r w:rsidRPr="0089029A">
        <w:rPr>
          <w:rFonts w:ascii="Minion Pro" w:hAnsi="Minion Pro"/>
          <w:color w:val="000000"/>
          <w:sz w:val="18"/>
        </w:rPr>
        <w:t>&lt;0.05, **</w:t>
      </w:r>
      <w:r w:rsidRPr="0089029A">
        <w:rPr>
          <w:rFonts w:ascii="Minion Pro" w:hAnsi="Minion Pro"/>
          <w:i/>
          <w:iCs/>
          <w:color w:val="000000"/>
          <w:sz w:val="18"/>
        </w:rPr>
        <w:t>p</w:t>
      </w:r>
      <w:r w:rsidRPr="0089029A">
        <w:rPr>
          <w:rFonts w:ascii="Minion Pro" w:hAnsi="Minion Pro"/>
          <w:color w:val="000000"/>
          <w:sz w:val="18"/>
        </w:rPr>
        <w:t>&lt;0.01, ***</w:t>
      </w:r>
      <w:r w:rsidRPr="0089029A">
        <w:rPr>
          <w:rFonts w:ascii="Minion Pro" w:hAnsi="Minion Pro"/>
          <w:i/>
          <w:iCs/>
          <w:color w:val="000000"/>
          <w:sz w:val="18"/>
        </w:rPr>
        <w:t>p</w:t>
      </w:r>
      <w:r w:rsidRPr="0089029A">
        <w:rPr>
          <w:rFonts w:ascii="Minion Pro" w:hAnsi="Minion Pro"/>
          <w:color w:val="000000"/>
          <w:sz w:val="18"/>
        </w:rPr>
        <w:t>&lt;0.001)</w:t>
      </w:r>
    </w:p>
    <w:p w14:paraId="321222B9" w14:textId="77777777" w:rsidR="0003054C" w:rsidRDefault="0003054C"/>
    <w:sectPr w:rsidR="000305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16495" w14:textId="77777777" w:rsidR="00980FE6" w:rsidRDefault="00980FE6" w:rsidP="00725331">
      <w:r>
        <w:separator/>
      </w:r>
    </w:p>
  </w:endnote>
  <w:endnote w:type="continuationSeparator" w:id="0">
    <w:p w14:paraId="5A95E425" w14:textId="77777777" w:rsidR="00980FE6" w:rsidRDefault="00980FE6" w:rsidP="00725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4D324" w14:textId="77777777" w:rsidR="00980FE6" w:rsidRDefault="00980FE6" w:rsidP="00725331">
      <w:r>
        <w:separator/>
      </w:r>
    </w:p>
  </w:footnote>
  <w:footnote w:type="continuationSeparator" w:id="0">
    <w:p w14:paraId="4B7CD67F" w14:textId="77777777" w:rsidR="00980FE6" w:rsidRDefault="00980FE6" w:rsidP="007253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DA4"/>
    <w:rsid w:val="0003054C"/>
    <w:rsid w:val="00412D7A"/>
    <w:rsid w:val="0060133F"/>
    <w:rsid w:val="00725331"/>
    <w:rsid w:val="0089029A"/>
    <w:rsid w:val="00894489"/>
    <w:rsid w:val="008A527D"/>
    <w:rsid w:val="00942AD4"/>
    <w:rsid w:val="00980FE6"/>
    <w:rsid w:val="00C90DA4"/>
    <w:rsid w:val="00F0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C5A8BC"/>
  <w15:chartTrackingRefBased/>
  <w15:docId w15:val="{4900A182-5752-4AC2-90CC-02D72BE1A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331"/>
    <w:pPr>
      <w:widowControl w:val="0"/>
      <w:autoSpaceDE w:val="0"/>
      <w:autoSpaceDN w:val="0"/>
    </w:pPr>
    <w:rPr>
      <w:rFonts w:ascii="PMingLiU" w:eastAsia="PMingLiU" w:hAnsi="PMingLiU" w:cs="PMingLiU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331"/>
    <w:pP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7253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5331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725331"/>
    <w:rPr>
      <w:sz w:val="18"/>
      <w:szCs w:val="18"/>
    </w:rPr>
  </w:style>
  <w:style w:type="character" w:styleId="a7">
    <w:name w:val="annotation reference"/>
    <w:uiPriority w:val="99"/>
    <w:semiHidden/>
    <w:unhideWhenUsed/>
    <w:rsid w:val="00725331"/>
    <w:rPr>
      <w:sz w:val="21"/>
      <w:szCs w:val="21"/>
    </w:rPr>
  </w:style>
  <w:style w:type="paragraph" w:styleId="a8">
    <w:name w:val="annotation text"/>
    <w:basedOn w:val="a"/>
    <w:link w:val="a9"/>
    <w:uiPriority w:val="99"/>
    <w:unhideWhenUsed/>
    <w:qFormat/>
    <w:rsid w:val="00725331"/>
  </w:style>
  <w:style w:type="character" w:customStyle="1" w:styleId="a9">
    <w:name w:val="批注文字 字符"/>
    <w:basedOn w:val="a0"/>
    <w:link w:val="a8"/>
    <w:uiPriority w:val="99"/>
    <w:qFormat/>
    <w:rsid w:val="00725331"/>
    <w:rPr>
      <w:rFonts w:ascii="PMingLiU" w:eastAsia="PMingLiU" w:hAnsi="PMingLiU" w:cs="PMingLiU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泽鹏 董</dc:creator>
  <cp:keywords/>
  <dc:description/>
  <cp:lastModifiedBy>泽鹏 董</cp:lastModifiedBy>
  <cp:revision>5</cp:revision>
  <dcterms:created xsi:type="dcterms:W3CDTF">2023-10-10T04:17:00Z</dcterms:created>
  <dcterms:modified xsi:type="dcterms:W3CDTF">2023-10-11T01:50:00Z</dcterms:modified>
</cp:coreProperties>
</file>